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6E0A" w14:textId="77777777" w:rsidR="009D44F5" w:rsidRDefault="009D44F5" w:rsidP="009D44F5">
      <w:pPr>
        <w:jc w:val="both"/>
        <w:rPr>
          <w:rFonts w:ascii="Arial" w:hAnsi="Arial" w:cs="Arial"/>
        </w:rPr>
      </w:pPr>
    </w:p>
    <w:p w14:paraId="509A41A5" w14:textId="77777777" w:rsidR="00502C88" w:rsidRDefault="00502C88" w:rsidP="009D44F5">
      <w:pPr>
        <w:jc w:val="both"/>
        <w:rPr>
          <w:rFonts w:ascii="Arial" w:hAnsi="Arial" w:cs="Arial"/>
        </w:rPr>
      </w:pPr>
    </w:p>
    <w:p w14:paraId="48D53DE5" w14:textId="77777777" w:rsidR="00502C88" w:rsidRDefault="00502C88" w:rsidP="009D44F5">
      <w:pPr>
        <w:jc w:val="both"/>
        <w:rPr>
          <w:rFonts w:ascii="Arial" w:hAnsi="Arial" w:cs="Arial"/>
        </w:rPr>
      </w:pPr>
    </w:p>
    <w:p w14:paraId="5091638D" w14:textId="77777777" w:rsidR="009D44F5" w:rsidRPr="00711917" w:rsidRDefault="009D44F5" w:rsidP="009D44F5">
      <w:pPr>
        <w:jc w:val="both"/>
        <w:rPr>
          <w:rFonts w:ascii="Arial" w:hAnsi="Arial" w:cs="Arial"/>
        </w:rPr>
      </w:pPr>
      <w:r w:rsidRPr="00711917">
        <w:rPr>
          <w:rFonts w:ascii="Arial" w:hAnsi="Arial" w:cs="Arial"/>
        </w:rPr>
        <w:t xml:space="preserve">Anschrift des/ der Versicherten </w:t>
      </w:r>
    </w:p>
    <w:p w14:paraId="74A5040B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79990271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7DFFB158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55436664" w14:textId="77777777" w:rsidR="009D44F5" w:rsidRPr="00711917" w:rsidRDefault="009D44F5" w:rsidP="009D44F5">
      <w:pPr>
        <w:jc w:val="both"/>
        <w:rPr>
          <w:rFonts w:ascii="Arial" w:hAnsi="Arial" w:cs="Arial"/>
        </w:rPr>
      </w:pPr>
      <w:r w:rsidRPr="00711917">
        <w:rPr>
          <w:rFonts w:ascii="Arial" w:hAnsi="Arial" w:cs="Arial"/>
        </w:rPr>
        <w:t xml:space="preserve">Anschrift der Krankenkasse </w:t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</w:r>
      <w:r w:rsidRPr="00711917">
        <w:rPr>
          <w:rFonts w:ascii="Arial" w:hAnsi="Arial" w:cs="Arial"/>
        </w:rPr>
        <w:tab/>
        <w:t xml:space="preserve"> Ort, Datum </w:t>
      </w:r>
    </w:p>
    <w:p w14:paraId="15BBFA0D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67747187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793439B5" w14:textId="25BAFE7E" w:rsidR="009D44F5" w:rsidRDefault="009D44F5" w:rsidP="009D44F5">
      <w:pPr>
        <w:jc w:val="both"/>
        <w:rPr>
          <w:rFonts w:ascii="Arial" w:hAnsi="Arial" w:cs="Arial"/>
          <w:b/>
          <w:sz w:val="24"/>
        </w:rPr>
      </w:pPr>
      <w:r w:rsidRPr="00D01E82">
        <w:rPr>
          <w:rFonts w:ascii="Arial" w:hAnsi="Arial" w:cs="Arial"/>
          <w:b/>
          <w:sz w:val="24"/>
        </w:rPr>
        <w:t xml:space="preserve">Antrag </w:t>
      </w:r>
      <w:r w:rsidR="006A5518">
        <w:rPr>
          <w:rFonts w:ascii="Arial" w:hAnsi="Arial" w:cs="Arial"/>
          <w:b/>
          <w:sz w:val="24"/>
        </w:rPr>
        <w:t xml:space="preserve">auf </w:t>
      </w:r>
      <w:r w:rsidRPr="00D01E82">
        <w:rPr>
          <w:rFonts w:ascii="Arial" w:hAnsi="Arial" w:cs="Arial"/>
          <w:b/>
          <w:sz w:val="24"/>
        </w:rPr>
        <w:t xml:space="preserve">Kostenerstattung nach § 13 Absatz 3 SGB V </w:t>
      </w:r>
    </w:p>
    <w:p w14:paraId="6396C3A5" w14:textId="77777777" w:rsidR="009D44F5" w:rsidRPr="00711917" w:rsidRDefault="009D44F5" w:rsidP="009D44F5">
      <w:pPr>
        <w:jc w:val="both"/>
        <w:rPr>
          <w:rFonts w:ascii="Arial" w:hAnsi="Arial" w:cs="Arial"/>
          <w:b/>
        </w:rPr>
      </w:pPr>
      <w:r w:rsidRPr="00711917">
        <w:rPr>
          <w:rFonts w:ascii="Arial" w:hAnsi="Arial" w:cs="Arial"/>
          <w:b/>
        </w:rPr>
        <w:t xml:space="preserve">Versichertennummer: </w:t>
      </w:r>
    </w:p>
    <w:p w14:paraId="0CBC157F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26916D8C" w14:textId="77777777" w:rsidR="009D44F5" w:rsidRPr="00711917" w:rsidRDefault="009D44F5" w:rsidP="009D44F5">
      <w:pPr>
        <w:jc w:val="both"/>
        <w:rPr>
          <w:rFonts w:ascii="Arial" w:hAnsi="Arial" w:cs="Arial"/>
        </w:rPr>
      </w:pPr>
      <w:r w:rsidRPr="00711917">
        <w:rPr>
          <w:rFonts w:ascii="Arial" w:hAnsi="Arial" w:cs="Arial"/>
        </w:rPr>
        <w:t xml:space="preserve">Sehr geehrte Damen und Herren, </w:t>
      </w:r>
    </w:p>
    <w:p w14:paraId="35966FC8" w14:textId="10B35B4C" w:rsidR="00894323" w:rsidRDefault="009D44F5" w:rsidP="009D44F5">
      <w:pPr>
        <w:jc w:val="both"/>
        <w:rPr>
          <w:rFonts w:ascii="Arial" w:hAnsi="Arial" w:cs="Arial"/>
        </w:rPr>
      </w:pPr>
      <w:r w:rsidRPr="00711917">
        <w:rPr>
          <w:rFonts w:ascii="Arial" w:hAnsi="Arial" w:cs="Arial"/>
        </w:rPr>
        <w:t xml:space="preserve">hiermit beantrage ich </w:t>
      </w:r>
      <w:r w:rsidR="00894323">
        <w:rPr>
          <w:rFonts w:ascii="Arial" w:hAnsi="Arial" w:cs="Arial"/>
        </w:rPr>
        <w:t>die Übernahme der Kosten für eine multiparametrische MRT-Untersuchung der Prostata (</w:t>
      </w:r>
      <w:proofErr w:type="spellStart"/>
      <w:r w:rsidR="00894323">
        <w:rPr>
          <w:rFonts w:ascii="Arial" w:hAnsi="Arial" w:cs="Arial"/>
        </w:rPr>
        <w:t>mpMR-Prostatogra</w:t>
      </w:r>
      <w:r w:rsidR="008E3965">
        <w:rPr>
          <w:rFonts w:ascii="Arial" w:hAnsi="Arial" w:cs="Arial"/>
        </w:rPr>
        <w:t>f</w:t>
      </w:r>
      <w:r w:rsidR="00894323">
        <w:rPr>
          <w:rFonts w:ascii="Arial" w:hAnsi="Arial" w:cs="Arial"/>
        </w:rPr>
        <w:t>ie</w:t>
      </w:r>
      <w:proofErr w:type="spellEnd"/>
      <w:r w:rsidR="00894323">
        <w:rPr>
          <w:rFonts w:ascii="Arial" w:hAnsi="Arial" w:cs="Arial"/>
        </w:rPr>
        <w:t>) auf Grundlage de</w:t>
      </w:r>
      <w:r w:rsidR="005A55CE">
        <w:rPr>
          <w:rFonts w:ascii="Arial" w:hAnsi="Arial" w:cs="Arial"/>
        </w:rPr>
        <w:t>s</w:t>
      </w:r>
      <w:r w:rsidR="00894323">
        <w:rPr>
          <w:rFonts w:ascii="Arial" w:hAnsi="Arial" w:cs="Arial"/>
        </w:rPr>
        <w:t xml:space="preserve"> nachfolgenden Kostenvoranschlags und bitte um zeitnahe schriftliche Genehmigung.</w:t>
      </w:r>
    </w:p>
    <w:p w14:paraId="373F5C82" w14:textId="4BC23D16" w:rsidR="00CC1358" w:rsidRDefault="00894323" w:rsidP="009D4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Mein behandelnder Arzt hält bei bekanntem bzw. Verdacht auf ein Prostata</w:t>
      </w:r>
      <w:r w:rsidR="00CC1358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arzinom die </w:t>
      </w:r>
      <w:r w:rsidR="002F2053">
        <w:rPr>
          <w:rFonts w:ascii="Arial" w:hAnsi="Arial" w:cs="Arial"/>
        </w:rPr>
        <w:t>dezidierte Untersuchung der Prostata mit</w:t>
      </w:r>
      <w:r w:rsidR="008E3965">
        <w:rPr>
          <w:rFonts w:ascii="Arial" w:hAnsi="Arial" w:cs="Arial"/>
        </w:rPr>
        <w:t>tels einer</w:t>
      </w:r>
      <w:r w:rsidR="002F2053">
        <w:rPr>
          <w:rFonts w:ascii="Arial" w:hAnsi="Arial" w:cs="Arial"/>
        </w:rPr>
        <w:t xml:space="preserve"> MRT </w:t>
      </w:r>
      <w:r w:rsidR="00683DE1">
        <w:rPr>
          <w:rFonts w:ascii="Arial" w:hAnsi="Arial" w:cs="Arial"/>
        </w:rPr>
        <w:t xml:space="preserve">zur weiteren Entscheidungsfindung hinsichtlich der therapeutischen Optionen </w:t>
      </w:r>
      <w:r w:rsidR="002F2053">
        <w:rPr>
          <w:rFonts w:ascii="Arial" w:hAnsi="Arial" w:cs="Arial"/>
        </w:rPr>
        <w:t>für erforderlich.</w:t>
      </w:r>
      <w:r>
        <w:rPr>
          <w:rFonts w:ascii="Arial" w:hAnsi="Arial" w:cs="Arial"/>
        </w:rPr>
        <w:t xml:space="preserve"> </w:t>
      </w:r>
      <w:r w:rsidR="00683DE1">
        <w:rPr>
          <w:rFonts w:ascii="Arial" w:hAnsi="Arial" w:cs="Arial"/>
        </w:rPr>
        <w:t>Bei der zugrunde liegenden Indikation handelt es sich um eine lebensbedrohliche Erkrankung</w:t>
      </w:r>
      <w:r w:rsidR="006F776A">
        <w:rPr>
          <w:rFonts w:ascii="Arial" w:hAnsi="Arial" w:cs="Arial"/>
        </w:rPr>
        <w:t>,</w:t>
      </w:r>
      <w:r w:rsidR="00683DE1">
        <w:rPr>
          <w:rFonts w:ascii="Arial" w:hAnsi="Arial" w:cs="Arial"/>
        </w:rPr>
        <w:t xml:space="preserve"> bei der ein Zuwarten für die sachgerechte Diagnostik nicht zumutbar ist. </w:t>
      </w:r>
    </w:p>
    <w:p w14:paraId="20AFBB3C" w14:textId="6D2944E1" w:rsidR="00502C88" w:rsidRPr="00711917" w:rsidRDefault="00502C88" w:rsidP="009D4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Erforderlich ist die dezidierte Darstellung der Prostata. Diese </w:t>
      </w:r>
      <w:r w:rsidR="001127D1">
        <w:rPr>
          <w:rFonts w:ascii="Arial" w:hAnsi="Arial" w:cs="Arial"/>
        </w:rPr>
        <w:t xml:space="preserve">beinhaltet </w:t>
      </w:r>
      <w:r>
        <w:rPr>
          <w:rFonts w:ascii="Arial" w:hAnsi="Arial" w:cs="Arial"/>
        </w:rPr>
        <w:t>die multiparametrische MR-</w:t>
      </w:r>
      <w:proofErr w:type="spellStart"/>
      <w:r>
        <w:rPr>
          <w:rFonts w:ascii="Arial" w:hAnsi="Arial" w:cs="Arial"/>
        </w:rPr>
        <w:t>Prostatogra</w:t>
      </w:r>
      <w:r w:rsidR="008E3965">
        <w:rPr>
          <w:rFonts w:ascii="Arial" w:hAnsi="Arial" w:cs="Arial"/>
        </w:rPr>
        <w:t>f</w:t>
      </w:r>
      <w:r>
        <w:rPr>
          <w:rFonts w:ascii="Arial" w:hAnsi="Arial" w:cs="Arial"/>
        </w:rPr>
        <w:t>ie</w:t>
      </w:r>
      <w:proofErr w:type="spellEnd"/>
      <w:r>
        <w:rPr>
          <w:rFonts w:ascii="Arial" w:hAnsi="Arial" w:cs="Arial"/>
        </w:rPr>
        <w:t xml:space="preserve"> mit </w:t>
      </w:r>
      <w:r w:rsidR="001127D1">
        <w:rPr>
          <w:rFonts w:ascii="Arial" w:hAnsi="Arial" w:cs="Arial"/>
        </w:rPr>
        <w:t xml:space="preserve">speziellen </w:t>
      </w:r>
      <w:r w:rsidR="008E3965">
        <w:rPr>
          <w:rFonts w:ascii="Arial" w:hAnsi="Arial" w:cs="Arial"/>
        </w:rPr>
        <w:t>Messp</w:t>
      </w:r>
      <w:r>
        <w:rPr>
          <w:rFonts w:ascii="Arial" w:hAnsi="Arial" w:cs="Arial"/>
        </w:rPr>
        <w:t>arametern</w:t>
      </w:r>
      <w:r w:rsidR="005A55CE">
        <w:rPr>
          <w:rFonts w:ascii="Arial" w:hAnsi="Arial" w:cs="Arial"/>
        </w:rPr>
        <w:t xml:space="preserve"> </w:t>
      </w:r>
      <w:r w:rsidR="008E3965">
        <w:rPr>
          <w:rFonts w:ascii="Arial" w:hAnsi="Arial" w:cs="Arial"/>
        </w:rPr>
        <w:t>und einer starken Fokussierung des Messfeldes auf die Prostata mittels hochauflösender</w:t>
      </w:r>
      <w:r w:rsidRPr="00502C88">
        <w:rPr>
          <w:rFonts w:ascii="Arial" w:hAnsi="Arial" w:cs="Arial"/>
        </w:rPr>
        <w:t xml:space="preserve"> T2</w:t>
      </w:r>
      <w:r w:rsidR="008E3965">
        <w:rPr>
          <w:rFonts w:ascii="Arial" w:hAnsi="Arial" w:cs="Arial"/>
        </w:rPr>
        <w:t>-gewichteter</w:t>
      </w:r>
      <w:r w:rsidRPr="00502C88">
        <w:rPr>
          <w:rFonts w:ascii="Arial" w:hAnsi="Arial" w:cs="Arial"/>
        </w:rPr>
        <w:t xml:space="preserve"> axial</w:t>
      </w:r>
      <w:r w:rsidR="008E3965">
        <w:rPr>
          <w:rFonts w:ascii="Arial" w:hAnsi="Arial" w:cs="Arial"/>
        </w:rPr>
        <w:t xml:space="preserve">er und </w:t>
      </w:r>
      <w:proofErr w:type="spellStart"/>
      <w:r w:rsidRPr="00502C88">
        <w:rPr>
          <w:rFonts w:ascii="Arial" w:hAnsi="Arial" w:cs="Arial"/>
        </w:rPr>
        <w:t>coronar</w:t>
      </w:r>
      <w:proofErr w:type="spellEnd"/>
      <w:r w:rsidR="008E3965">
        <w:rPr>
          <w:rFonts w:ascii="Arial" w:hAnsi="Arial" w:cs="Arial"/>
        </w:rPr>
        <w:t xml:space="preserve"> Sequenzen</w:t>
      </w:r>
      <w:r w:rsidRPr="00502C88">
        <w:rPr>
          <w:rFonts w:ascii="Arial" w:hAnsi="Arial" w:cs="Arial"/>
        </w:rPr>
        <w:t xml:space="preserve">, </w:t>
      </w:r>
      <w:r w:rsidR="008E3965">
        <w:rPr>
          <w:rFonts w:ascii="Arial" w:hAnsi="Arial" w:cs="Arial"/>
        </w:rPr>
        <w:t xml:space="preserve">einer </w:t>
      </w:r>
      <w:r w:rsidRPr="00502C88">
        <w:rPr>
          <w:rFonts w:ascii="Arial" w:hAnsi="Arial" w:cs="Arial"/>
        </w:rPr>
        <w:t>Diffusions</w:t>
      </w:r>
      <w:r w:rsidR="008E3965">
        <w:rPr>
          <w:rFonts w:ascii="Arial" w:hAnsi="Arial" w:cs="Arial"/>
        </w:rPr>
        <w:t>-ge</w:t>
      </w:r>
      <w:r w:rsidRPr="00502C88">
        <w:rPr>
          <w:rFonts w:ascii="Arial" w:hAnsi="Arial" w:cs="Arial"/>
        </w:rPr>
        <w:t>wichtung (</w:t>
      </w:r>
      <w:r w:rsidR="008E3965">
        <w:rPr>
          <w:rFonts w:ascii="Arial" w:hAnsi="Arial" w:cs="Arial"/>
        </w:rPr>
        <w:t>beinhaltete b-</w:t>
      </w:r>
      <w:r w:rsidRPr="00502C88">
        <w:rPr>
          <w:rFonts w:ascii="Arial" w:hAnsi="Arial" w:cs="Arial"/>
        </w:rPr>
        <w:t xml:space="preserve">Werte </w:t>
      </w:r>
      <w:r w:rsidR="008E3965">
        <w:rPr>
          <w:rFonts w:ascii="Arial" w:hAnsi="Arial" w:cs="Arial"/>
        </w:rPr>
        <w:t>von ≥</w:t>
      </w:r>
      <w:r w:rsidRPr="00502C88">
        <w:rPr>
          <w:rFonts w:ascii="Arial" w:hAnsi="Arial" w:cs="Arial"/>
        </w:rPr>
        <w:t xml:space="preserve"> </w:t>
      </w:r>
      <w:r w:rsidR="008E3965" w:rsidRPr="008E3965">
        <w:rPr>
          <w:rFonts w:ascii="Arial" w:hAnsi="Arial" w:cs="Arial"/>
        </w:rPr>
        <w:t>1000 sec/mm</w:t>
      </w:r>
      <w:r w:rsidR="008E3965" w:rsidRPr="008E3965">
        <w:rPr>
          <w:rFonts w:ascii="Arial" w:hAnsi="Arial" w:cs="Arial"/>
          <w:vertAlign w:val="superscript"/>
        </w:rPr>
        <w:t>2</w:t>
      </w:r>
      <w:r w:rsidRPr="00502C88">
        <w:rPr>
          <w:rFonts w:ascii="Arial" w:hAnsi="Arial" w:cs="Arial"/>
        </w:rPr>
        <w:t>)</w:t>
      </w:r>
      <w:r w:rsidR="008E3965">
        <w:rPr>
          <w:rFonts w:ascii="Arial" w:hAnsi="Arial" w:cs="Arial"/>
        </w:rPr>
        <w:t xml:space="preserve"> mit</w:t>
      </w:r>
      <w:r w:rsidRPr="00502C88">
        <w:rPr>
          <w:rFonts w:ascii="Arial" w:hAnsi="Arial" w:cs="Arial"/>
        </w:rPr>
        <w:t xml:space="preserve"> ADC</w:t>
      </w:r>
      <w:r w:rsidR="008E3965">
        <w:rPr>
          <w:rFonts w:ascii="Arial" w:hAnsi="Arial" w:cs="Arial"/>
        </w:rPr>
        <w:t>-</w:t>
      </w:r>
      <w:r w:rsidRPr="00502C88">
        <w:rPr>
          <w:rFonts w:ascii="Arial" w:hAnsi="Arial" w:cs="Arial"/>
        </w:rPr>
        <w:t>Mapping</w:t>
      </w:r>
      <w:r>
        <w:rPr>
          <w:rFonts w:ascii="Arial" w:hAnsi="Arial" w:cs="Arial"/>
        </w:rPr>
        <w:t xml:space="preserve">, </w:t>
      </w:r>
      <w:r w:rsidR="008E3965">
        <w:rPr>
          <w:rFonts w:ascii="Arial" w:hAnsi="Arial" w:cs="Arial"/>
        </w:rPr>
        <w:t xml:space="preserve">einer </w:t>
      </w:r>
      <w:r w:rsidRPr="00502C88">
        <w:rPr>
          <w:rFonts w:ascii="Arial" w:hAnsi="Arial" w:cs="Arial"/>
        </w:rPr>
        <w:t>K</w:t>
      </w:r>
      <w:r w:rsidR="008E3965">
        <w:rPr>
          <w:rFonts w:ascii="Arial" w:hAnsi="Arial" w:cs="Arial"/>
        </w:rPr>
        <w:t>ontrastmittel-gestützten</w:t>
      </w:r>
      <w:r w:rsidRPr="00502C88">
        <w:rPr>
          <w:rFonts w:ascii="Arial" w:hAnsi="Arial" w:cs="Arial"/>
        </w:rPr>
        <w:t xml:space="preserve"> </w:t>
      </w:r>
      <w:r w:rsidR="008E3965">
        <w:rPr>
          <w:rFonts w:ascii="Arial" w:hAnsi="Arial" w:cs="Arial"/>
        </w:rPr>
        <w:t>d</w:t>
      </w:r>
      <w:r w:rsidRPr="00502C88">
        <w:rPr>
          <w:rFonts w:ascii="Arial" w:hAnsi="Arial" w:cs="Arial"/>
        </w:rPr>
        <w:t>ynam</w:t>
      </w:r>
      <w:r w:rsidR="008E3965">
        <w:rPr>
          <w:rFonts w:ascii="Arial" w:hAnsi="Arial" w:cs="Arial"/>
        </w:rPr>
        <w:t>ischen Messung</w:t>
      </w:r>
      <w:r w:rsidRPr="00502C88">
        <w:rPr>
          <w:rFonts w:ascii="Arial" w:hAnsi="Arial" w:cs="Arial"/>
        </w:rPr>
        <w:t xml:space="preserve"> </w:t>
      </w:r>
      <w:r w:rsidR="00EB1E2D">
        <w:rPr>
          <w:rFonts w:ascii="Arial" w:hAnsi="Arial" w:cs="Arial"/>
        </w:rPr>
        <w:t xml:space="preserve">mit sehr hoher zeitlicher Auflösung (≤ 10 Sekunden) </w:t>
      </w:r>
      <w:r w:rsidRPr="00502C88">
        <w:rPr>
          <w:rFonts w:ascii="Arial" w:hAnsi="Arial" w:cs="Arial"/>
        </w:rPr>
        <w:t xml:space="preserve">über </w:t>
      </w:r>
      <w:r w:rsidR="00EB1E2D">
        <w:rPr>
          <w:rFonts w:ascii="Arial" w:hAnsi="Arial" w:cs="Arial"/>
        </w:rPr>
        <w:t>3</w:t>
      </w:r>
      <w:r w:rsidRPr="00502C88">
        <w:rPr>
          <w:rFonts w:ascii="Arial" w:hAnsi="Arial" w:cs="Arial"/>
        </w:rPr>
        <w:t xml:space="preserve"> Minuten nach</w:t>
      </w:r>
      <w:r w:rsidR="007063EB">
        <w:rPr>
          <w:rFonts w:ascii="Arial" w:hAnsi="Arial" w:cs="Arial"/>
        </w:rPr>
        <w:t xml:space="preserve"> </w:t>
      </w:r>
      <w:r w:rsidR="007063EB" w:rsidRPr="007063EB">
        <w:rPr>
          <w:rFonts w:ascii="Arial" w:hAnsi="Arial" w:cs="Arial"/>
        </w:rPr>
        <w:t>KM-Applikation</w:t>
      </w:r>
      <w:r w:rsidR="0081207E">
        <w:rPr>
          <w:rFonts w:ascii="Arial" w:hAnsi="Arial" w:cs="Arial"/>
        </w:rPr>
        <w:t xml:space="preserve">, sowie einer T1-gewichteten Sequenz zur Abbildung der Prostata, der </w:t>
      </w:r>
      <w:proofErr w:type="spellStart"/>
      <w:r w:rsidR="0081207E">
        <w:rPr>
          <w:rFonts w:ascii="Arial" w:hAnsi="Arial" w:cs="Arial"/>
        </w:rPr>
        <w:t>Lymphablusswege</w:t>
      </w:r>
      <w:proofErr w:type="spellEnd"/>
      <w:r w:rsidR="0081207E">
        <w:rPr>
          <w:rFonts w:ascii="Arial" w:hAnsi="Arial" w:cs="Arial"/>
        </w:rPr>
        <w:t xml:space="preserve"> der Prostata und des Knochenmarks des Beckenskeletts</w:t>
      </w:r>
      <w:r>
        <w:rPr>
          <w:rFonts w:ascii="Arial" w:hAnsi="Arial" w:cs="Arial"/>
        </w:rPr>
        <w:t xml:space="preserve">. Die Auflösung beträgt </w:t>
      </w:r>
      <w:r w:rsidR="00EB1E2D">
        <w:rPr>
          <w:rFonts w:ascii="Arial" w:hAnsi="Arial" w:cs="Arial"/>
        </w:rPr>
        <w:t>mindestens</w:t>
      </w:r>
      <w:r>
        <w:rPr>
          <w:rFonts w:ascii="Arial" w:hAnsi="Arial" w:cs="Arial"/>
        </w:rPr>
        <w:t xml:space="preserve"> </w:t>
      </w:r>
      <w:r w:rsidR="00EB1E2D">
        <w:rPr>
          <w:rFonts w:ascii="Arial" w:hAnsi="Arial" w:cs="Arial"/>
        </w:rPr>
        <w:t>2.1</w:t>
      </w:r>
      <w:r>
        <w:rPr>
          <w:rFonts w:ascii="Arial" w:hAnsi="Arial" w:cs="Arial"/>
        </w:rPr>
        <w:t>x</w:t>
      </w:r>
      <w:r w:rsidR="00EB1E2D">
        <w:rPr>
          <w:rFonts w:ascii="Arial" w:hAnsi="Arial" w:cs="Arial"/>
        </w:rPr>
        <w:t>2.1</w:t>
      </w:r>
      <w:r>
        <w:rPr>
          <w:rFonts w:ascii="Arial" w:hAnsi="Arial" w:cs="Arial"/>
        </w:rPr>
        <w:t>x</w:t>
      </w:r>
      <w:r w:rsidR="00EB1E2D">
        <w:rPr>
          <w:rFonts w:ascii="Arial" w:hAnsi="Arial" w:cs="Arial"/>
        </w:rPr>
        <w:t>3.5</w:t>
      </w:r>
      <w:r>
        <w:rPr>
          <w:rFonts w:ascii="Arial" w:hAnsi="Arial" w:cs="Arial"/>
        </w:rPr>
        <w:t xml:space="preserve"> mm bei einem </w:t>
      </w:r>
      <w:r w:rsidR="00EB1E2D">
        <w:rPr>
          <w:rFonts w:ascii="Arial" w:hAnsi="Arial" w:cs="Arial"/>
        </w:rPr>
        <w:t xml:space="preserve">auf die Prostata fokussiertem </w:t>
      </w:r>
      <w:r>
        <w:rPr>
          <w:rFonts w:ascii="Arial" w:hAnsi="Arial" w:cs="Arial"/>
        </w:rPr>
        <w:t>F</w:t>
      </w:r>
      <w:r w:rsidR="00EB1E2D">
        <w:rPr>
          <w:rFonts w:ascii="Arial" w:hAnsi="Arial" w:cs="Arial"/>
        </w:rPr>
        <w:t>ield-</w:t>
      </w:r>
      <w:proofErr w:type="spellStart"/>
      <w:r w:rsidR="00EB1E2D">
        <w:rPr>
          <w:rFonts w:ascii="Arial" w:hAnsi="Arial" w:cs="Arial"/>
        </w:rPr>
        <w:t>of</w:t>
      </w:r>
      <w:proofErr w:type="spellEnd"/>
      <w:r w:rsidR="00EB1E2D">
        <w:rPr>
          <w:rFonts w:ascii="Arial" w:hAnsi="Arial" w:cs="Arial"/>
        </w:rPr>
        <w:t>-View</w:t>
      </w:r>
      <w:r>
        <w:rPr>
          <w:rFonts w:ascii="Arial" w:hAnsi="Arial" w:cs="Arial"/>
        </w:rPr>
        <w:t xml:space="preserve"> von maximal 2</w:t>
      </w:r>
      <w:r w:rsidR="00EB1E2D">
        <w:rPr>
          <w:rFonts w:ascii="Arial" w:hAnsi="Arial" w:cs="Arial"/>
        </w:rPr>
        <w:t>5</w:t>
      </w:r>
      <w:r>
        <w:rPr>
          <w:rFonts w:ascii="Arial" w:hAnsi="Arial" w:cs="Arial"/>
        </w:rPr>
        <w:t>0 mm</w:t>
      </w:r>
      <w:r w:rsidR="00EB1E2D">
        <w:rPr>
          <w:rFonts w:ascii="Arial" w:hAnsi="Arial" w:cs="Arial"/>
        </w:rPr>
        <w:t>.</w:t>
      </w:r>
      <w:r w:rsidRPr="00502C88">
        <w:rPr>
          <w:rFonts w:ascii="Arial" w:hAnsi="Arial" w:cs="Arial"/>
        </w:rPr>
        <w:t xml:space="preserve"> </w:t>
      </w:r>
      <w:r w:rsidR="00EB1E2D">
        <w:rPr>
          <w:rFonts w:ascii="Arial" w:hAnsi="Arial" w:cs="Arial"/>
        </w:rPr>
        <w:t xml:space="preserve">Zudem </w:t>
      </w:r>
      <w:r>
        <w:rPr>
          <w:rFonts w:ascii="Arial" w:hAnsi="Arial" w:cs="Arial"/>
        </w:rPr>
        <w:t xml:space="preserve">erfolgt eine </w:t>
      </w:r>
      <w:r w:rsidR="00EB1E2D">
        <w:rPr>
          <w:rFonts w:ascii="Arial" w:hAnsi="Arial" w:cs="Arial"/>
        </w:rPr>
        <w:t>aufwändige Befunderhebung gemäß der</w:t>
      </w:r>
      <w:r w:rsidRPr="00502C88">
        <w:rPr>
          <w:rFonts w:ascii="Arial" w:hAnsi="Arial" w:cs="Arial"/>
        </w:rPr>
        <w:t xml:space="preserve"> PIRADS</w:t>
      </w:r>
      <w:r w:rsidR="00EB1E2D">
        <w:rPr>
          <w:rFonts w:ascii="Arial" w:hAnsi="Arial" w:cs="Arial"/>
        </w:rPr>
        <w:t>-Klassifikation, die einen hohen zeitlichen Mehraufwand bedeutet, da neben einer standardisierten Klassifikation auffälliger Befunde in der Prostata eine Befundskizze erforderlich ist</w:t>
      </w:r>
      <w:r>
        <w:rPr>
          <w:rFonts w:ascii="Arial" w:hAnsi="Arial" w:cs="Arial"/>
        </w:rPr>
        <w:t>. Diese Untersuchung ist im EBM bisher nicht abgebildet und stellt eine neue Leistung dar, die derzeit nur im Rahmen der Kostenerstattung zu Lasten der gesetzlichen Krankenversicherung erbracht werden kann.</w:t>
      </w:r>
    </w:p>
    <w:p w14:paraId="37B443B2" w14:textId="5525F1F0" w:rsidR="00502C88" w:rsidRDefault="00A5439F" w:rsidP="009D4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Abrechnung erfolgt zu einem verminderten Steigerungssatz von 1,3 auf Grundlage der GOÄ nach folgendem Kostenvoranschlag:</w:t>
      </w:r>
    </w:p>
    <w:p w14:paraId="0F80A426" w14:textId="77777777" w:rsidR="00A5439F" w:rsidRDefault="00A5439F" w:rsidP="009D44F5">
      <w:pPr>
        <w:jc w:val="both"/>
        <w:rPr>
          <w:rFonts w:ascii="Arial" w:hAnsi="Arial" w:cs="Arial"/>
        </w:rPr>
      </w:pPr>
    </w:p>
    <w:tbl>
      <w:tblPr>
        <w:tblStyle w:val="Tabellenraster"/>
        <w:tblW w:w="9257" w:type="dxa"/>
        <w:tblLook w:val="04A0" w:firstRow="1" w:lastRow="0" w:firstColumn="1" w:lastColumn="0" w:noHBand="0" w:noVBand="1"/>
      </w:tblPr>
      <w:tblGrid>
        <w:gridCol w:w="1384"/>
        <w:gridCol w:w="3827"/>
        <w:gridCol w:w="1276"/>
        <w:gridCol w:w="992"/>
        <w:gridCol w:w="1778"/>
      </w:tblGrid>
      <w:tr w:rsidR="00A5439F" w14:paraId="5ED58927" w14:textId="77777777" w:rsidTr="00F00641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0593BE5A" w14:textId="0966F303" w:rsidR="00A5439F" w:rsidRPr="009B2231" w:rsidRDefault="00A5439F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GOÄ-NR.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FFA2949" w14:textId="08E53C86" w:rsidR="00A5439F" w:rsidRPr="009B2231" w:rsidRDefault="00A5439F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b/>
                <w:bCs/>
                <w:sz w:val="20"/>
                <w:szCs w:val="20"/>
              </w:rPr>
              <w:t>Kurzlegende / Leistung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0E9DE7" w14:textId="6290294D" w:rsidR="00A5439F" w:rsidRPr="009B2231" w:rsidRDefault="00A5439F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b/>
                <w:bCs/>
                <w:sz w:val="20"/>
                <w:szCs w:val="20"/>
              </w:rPr>
              <w:t>1-fach Satz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ACC6C3A" w14:textId="72E16560" w:rsidR="00A5439F" w:rsidRPr="009B2231" w:rsidRDefault="00A5439F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b/>
                <w:bCs/>
                <w:sz w:val="20"/>
                <w:szCs w:val="20"/>
              </w:rPr>
              <w:t>Faktor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1F60C796" w14:textId="15E252FD" w:rsidR="00A5439F" w:rsidRPr="009B2231" w:rsidRDefault="00A5439F" w:rsidP="00F00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Endbetrag </w:t>
            </w:r>
          </w:p>
        </w:tc>
      </w:tr>
      <w:tr w:rsidR="00F00641" w14:paraId="4B2407D2" w14:textId="77777777" w:rsidTr="00F00641">
        <w:tc>
          <w:tcPr>
            <w:tcW w:w="1384" w:type="dxa"/>
            <w:vAlign w:val="center"/>
          </w:tcPr>
          <w:p w14:paraId="2BEE0474" w14:textId="77777777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2DAF01" w14:textId="77777777" w:rsidR="00F00641" w:rsidRPr="009B2231" w:rsidRDefault="00F00641" w:rsidP="009D44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9FA38A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51A75F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268EB0DE" w14:textId="77777777" w:rsidR="00F00641" w:rsidRPr="009B2231" w:rsidRDefault="00F00641" w:rsidP="009D44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0641" w14:paraId="431DE3DC" w14:textId="77777777" w:rsidTr="00F00641">
        <w:tc>
          <w:tcPr>
            <w:tcW w:w="1384" w:type="dxa"/>
            <w:vAlign w:val="center"/>
          </w:tcPr>
          <w:p w14:paraId="416B47CE" w14:textId="77777777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4BAE7CC8" w14:textId="77777777" w:rsidR="00F00641" w:rsidRPr="009B2231" w:rsidRDefault="00F00641" w:rsidP="007C6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Beratung – auch mittels Fernsprecher</w:t>
            </w:r>
          </w:p>
        </w:tc>
        <w:tc>
          <w:tcPr>
            <w:tcW w:w="1276" w:type="dxa"/>
            <w:vAlign w:val="center"/>
          </w:tcPr>
          <w:p w14:paraId="7FF5E16A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4,66</w:t>
            </w:r>
          </w:p>
        </w:tc>
        <w:tc>
          <w:tcPr>
            <w:tcW w:w="992" w:type="dxa"/>
            <w:vAlign w:val="center"/>
          </w:tcPr>
          <w:p w14:paraId="16D59AC5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778" w:type="dxa"/>
            <w:vAlign w:val="center"/>
          </w:tcPr>
          <w:p w14:paraId="1B9F2367" w14:textId="63D5A330" w:rsidR="00F00641" w:rsidRPr="00F00641" w:rsidRDefault="00F00641" w:rsidP="001127D1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0641">
              <w:rPr>
                <w:rFonts w:ascii="Arial" w:hAnsi="Arial" w:cs="Arial"/>
                <w:b/>
                <w:sz w:val="20"/>
                <w:szCs w:val="20"/>
              </w:rPr>
              <w:t>6,06 €</w:t>
            </w:r>
          </w:p>
        </w:tc>
      </w:tr>
      <w:tr w:rsidR="00F00641" w14:paraId="4E2D7841" w14:textId="77777777" w:rsidTr="00F00641">
        <w:tc>
          <w:tcPr>
            <w:tcW w:w="1384" w:type="dxa"/>
            <w:vAlign w:val="center"/>
          </w:tcPr>
          <w:p w14:paraId="2456C228" w14:textId="3BE6DE74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5720</w:t>
            </w:r>
          </w:p>
        </w:tc>
        <w:tc>
          <w:tcPr>
            <w:tcW w:w="3827" w:type="dxa"/>
            <w:vAlign w:val="center"/>
          </w:tcPr>
          <w:p w14:paraId="2F63300E" w14:textId="22F0E5E1" w:rsidR="00F00641" w:rsidRPr="009B2231" w:rsidRDefault="00F00641" w:rsidP="009D44F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Magnetresonanztomographie im Bereich des Abdomens und / oder Becken</w:t>
            </w:r>
          </w:p>
        </w:tc>
        <w:tc>
          <w:tcPr>
            <w:tcW w:w="1276" w:type="dxa"/>
            <w:vAlign w:val="center"/>
          </w:tcPr>
          <w:p w14:paraId="0B37536B" w14:textId="0EAFA522" w:rsidR="00F00641" w:rsidRPr="009B2231" w:rsidRDefault="00F00641" w:rsidP="00F00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256,46</w:t>
            </w:r>
          </w:p>
        </w:tc>
        <w:tc>
          <w:tcPr>
            <w:tcW w:w="992" w:type="dxa"/>
            <w:vAlign w:val="center"/>
          </w:tcPr>
          <w:p w14:paraId="6487EA8A" w14:textId="035ECC44" w:rsidR="00F00641" w:rsidRPr="009B2231" w:rsidRDefault="00F00641" w:rsidP="00F006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778" w:type="dxa"/>
            <w:vAlign w:val="center"/>
          </w:tcPr>
          <w:p w14:paraId="4D3D9297" w14:textId="269672A1" w:rsidR="00F00641" w:rsidRPr="00F00641" w:rsidRDefault="00F00641" w:rsidP="001127D1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0641">
              <w:rPr>
                <w:rFonts w:ascii="Arial" w:hAnsi="Arial" w:cs="Arial"/>
                <w:b/>
                <w:bCs/>
                <w:sz w:val="20"/>
                <w:szCs w:val="20"/>
              </w:rPr>
              <w:t>333,40 €</w:t>
            </w:r>
          </w:p>
        </w:tc>
      </w:tr>
      <w:tr w:rsidR="00F00641" w14:paraId="334F79D4" w14:textId="77777777" w:rsidTr="00F00641">
        <w:tc>
          <w:tcPr>
            <w:tcW w:w="1384" w:type="dxa"/>
            <w:vAlign w:val="center"/>
          </w:tcPr>
          <w:p w14:paraId="40FB77D5" w14:textId="2F7488CE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5731</w:t>
            </w:r>
          </w:p>
        </w:tc>
        <w:tc>
          <w:tcPr>
            <w:tcW w:w="3827" w:type="dxa"/>
            <w:vAlign w:val="center"/>
          </w:tcPr>
          <w:p w14:paraId="0A30F7FB" w14:textId="389311CA" w:rsidR="00F00641" w:rsidRPr="009B223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ergänzende Serie zu den Ziffern 5700-5730 (mit / ohne KM-Einbringung)</w:t>
            </w:r>
          </w:p>
        </w:tc>
        <w:tc>
          <w:tcPr>
            <w:tcW w:w="1276" w:type="dxa"/>
            <w:vAlign w:val="center"/>
          </w:tcPr>
          <w:p w14:paraId="13A6043F" w14:textId="0E5658C5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58,29</w:t>
            </w:r>
          </w:p>
        </w:tc>
        <w:tc>
          <w:tcPr>
            <w:tcW w:w="992" w:type="dxa"/>
            <w:vAlign w:val="center"/>
          </w:tcPr>
          <w:p w14:paraId="62FD90DE" w14:textId="686A2FF9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778" w:type="dxa"/>
            <w:vAlign w:val="center"/>
          </w:tcPr>
          <w:p w14:paraId="34AB8664" w14:textId="61329706" w:rsidR="00F00641" w:rsidRPr="00F00641" w:rsidRDefault="00F00641" w:rsidP="001127D1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0641">
              <w:rPr>
                <w:rFonts w:ascii="Arial" w:hAnsi="Arial" w:cs="Arial"/>
                <w:b/>
                <w:sz w:val="20"/>
                <w:szCs w:val="20"/>
              </w:rPr>
              <w:t>75,78 €</w:t>
            </w:r>
          </w:p>
        </w:tc>
      </w:tr>
      <w:tr w:rsidR="00F00641" w14:paraId="5F214B21" w14:textId="77777777" w:rsidTr="00F00641">
        <w:tc>
          <w:tcPr>
            <w:tcW w:w="1384" w:type="dxa"/>
            <w:vAlign w:val="center"/>
          </w:tcPr>
          <w:p w14:paraId="0B018925" w14:textId="6439E941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5733</w:t>
            </w:r>
          </w:p>
        </w:tc>
        <w:tc>
          <w:tcPr>
            <w:tcW w:w="3827" w:type="dxa"/>
            <w:vAlign w:val="center"/>
          </w:tcPr>
          <w:p w14:paraId="54F6FCB9" w14:textId="1BA94139" w:rsidR="00F00641" w:rsidRPr="009B223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Computergestützte Analyse</w:t>
            </w:r>
          </w:p>
        </w:tc>
        <w:tc>
          <w:tcPr>
            <w:tcW w:w="1276" w:type="dxa"/>
            <w:vAlign w:val="center"/>
          </w:tcPr>
          <w:p w14:paraId="224A2C76" w14:textId="44DAAC01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58,29</w:t>
            </w:r>
          </w:p>
        </w:tc>
        <w:tc>
          <w:tcPr>
            <w:tcW w:w="992" w:type="dxa"/>
            <w:vAlign w:val="center"/>
          </w:tcPr>
          <w:p w14:paraId="129869E3" w14:textId="32A59B1D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78" w:type="dxa"/>
            <w:vAlign w:val="center"/>
          </w:tcPr>
          <w:p w14:paraId="7C22D3B9" w14:textId="6067785C" w:rsidR="00F00641" w:rsidRPr="00F00641" w:rsidRDefault="00F00641" w:rsidP="001127D1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0641">
              <w:rPr>
                <w:rFonts w:ascii="Arial" w:hAnsi="Arial" w:cs="Arial"/>
                <w:b/>
                <w:sz w:val="20"/>
                <w:szCs w:val="20"/>
              </w:rPr>
              <w:t>58,29 €</w:t>
            </w:r>
          </w:p>
        </w:tc>
      </w:tr>
      <w:tr w:rsidR="00F00641" w14:paraId="1458D99E" w14:textId="77777777" w:rsidTr="00F00641">
        <w:tc>
          <w:tcPr>
            <w:tcW w:w="1384" w:type="dxa"/>
            <w:vAlign w:val="center"/>
          </w:tcPr>
          <w:p w14:paraId="1B4C129F" w14:textId="292DDDB5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346</w:t>
            </w:r>
          </w:p>
        </w:tc>
        <w:tc>
          <w:tcPr>
            <w:tcW w:w="3827" w:type="dxa"/>
            <w:vAlign w:val="center"/>
          </w:tcPr>
          <w:p w14:paraId="50732B3D" w14:textId="1E9D406E" w:rsidR="00F00641" w:rsidRPr="009B223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KM-Einbringung mittels Hochdruck</w:t>
            </w:r>
            <w:r w:rsidR="00EB1E2D">
              <w:rPr>
                <w:rFonts w:ascii="Arial" w:hAnsi="Arial" w:cs="Arial"/>
                <w:sz w:val="20"/>
                <w:szCs w:val="20"/>
              </w:rPr>
              <w:t xml:space="preserve"> (erforderlich, um eine zeitlich präzise und gleichzeitig bzgl. der KM-</w:t>
            </w:r>
            <w:proofErr w:type="spellStart"/>
            <w:r w:rsidR="00EB1E2D">
              <w:rPr>
                <w:rFonts w:ascii="Arial" w:hAnsi="Arial" w:cs="Arial"/>
                <w:sz w:val="20"/>
                <w:szCs w:val="20"/>
              </w:rPr>
              <w:t>Boluslänge</w:t>
            </w:r>
            <w:proofErr w:type="spellEnd"/>
            <w:r w:rsidR="00EB1E2D">
              <w:rPr>
                <w:rFonts w:ascii="Arial" w:hAnsi="Arial" w:cs="Arial"/>
                <w:sz w:val="20"/>
                <w:szCs w:val="20"/>
              </w:rPr>
              <w:t xml:space="preserve"> kompakte KM-Einbringung der zeitlich hochaufgelösten DCE-Sequenz sicherzustellen)</w:t>
            </w:r>
          </w:p>
        </w:tc>
        <w:tc>
          <w:tcPr>
            <w:tcW w:w="1276" w:type="dxa"/>
            <w:vAlign w:val="center"/>
          </w:tcPr>
          <w:p w14:paraId="6D4E95F4" w14:textId="1C15A9C0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231">
              <w:rPr>
                <w:rFonts w:ascii="Arial" w:hAnsi="Arial" w:cs="Arial"/>
                <w:sz w:val="20"/>
                <w:szCs w:val="20"/>
              </w:rPr>
              <w:t>17,49</w:t>
            </w:r>
          </w:p>
        </w:tc>
        <w:tc>
          <w:tcPr>
            <w:tcW w:w="992" w:type="dxa"/>
            <w:vAlign w:val="center"/>
          </w:tcPr>
          <w:p w14:paraId="7ADBA6D3" w14:textId="47585566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778" w:type="dxa"/>
            <w:vAlign w:val="center"/>
          </w:tcPr>
          <w:p w14:paraId="579BF026" w14:textId="6FECDD57" w:rsidR="00F00641" w:rsidRPr="00F00641" w:rsidRDefault="00F00641" w:rsidP="001127D1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0641">
              <w:rPr>
                <w:rFonts w:ascii="Arial" w:hAnsi="Arial" w:cs="Arial"/>
                <w:b/>
                <w:sz w:val="20"/>
                <w:szCs w:val="20"/>
              </w:rPr>
              <w:t>22,74</w:t>
            </w:r>
            <w:r w:rsidR="001127D1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  <w:tr w:rsidR="001127D1" w14:paraId="1B2A6766" w14:textId="77777777" w:rsidTr="00F00641">
        <w:tc>
          <w:tcPr>
            <w:tcW w:w="1384" w:type="dxa"/>
            <w:vAlign w:val="center"/>
          </w:tcPr>
          <w:p w14:paraId="15CE4A81" w14:textId="5D4D8994" w:rsidR="001127D1" w:rsidRPr="009B2231" w:rsidRDefault="001127D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3827" w:type="dxa"/>
            <w:vAlign w:val="center"/>
          </w:tcPr>
          <w:p w14:paraId="260CE1F3" w14:textId="14B74245" w:rsidR="001127D1" w:rsidRPr="009B2231" w:rsidRDefault="001127D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Injektion intravenös</w:t>
            </w:r>
          </w:p>
        </w:tc>
        <w:tc>
          <w:tcPr>
            <w:tcW w:w="1276" w:type="dxa"/>
            <w:vAlign w:val="center"/>
          </w:tcPr>
          <w:p w14:paraId="5744EBC3" w14:textId="77777777" w:rsidR="001127D1" w:rsidRPr="009B2231" w:rsidRDefault="001127D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15726F" w14:textId="79D16B7D" w:rsidR="001127D1" w:rsidRPr="009B2231" w:rsidRDefault="001127D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778" w:type="dxa"/>
            <w:vAlign w:val="center"/>
          </w:tcPr>
          <w:p w14:paraId="73D3B096" w14:textId="71E91A16" w:rsidR="001127D1" w:rsidRPr="001127D1" w:rsidRDefault="001127D1" w:rsidP="001127D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7D1">
              <w:rPr>
                <w:rFonts w:ascii="Arial" w:hAnsi="Arial" w:cs="Arial"/>
                <w:b/>
                <w:bCs/>
                <w:sz w:val="20"/>
                <w:szCs w:val="20"/>
              </w:rPr>
              <w:t>5,30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127D1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  <w:tr w:rsidR="001127D1" w14:paraId="3E7C85CC" w14:textId="77777777" w:rsidTr="00F00641">
        <w:tc>
          <w:tcPr>
            <w:tcW w:w="1384" w:type="dxa"/>
            <w:vAlign w:val="center"/>
          </w:tcPr>
          <w:p w14:paraId="7CAAEED4" w14:textId="77777777" w:rsidR="001127D1" w:rsidRPr="009B2231" w:rsidRDefault="001127D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4992A5C" w14:textId="2CBEA854" w:rsidR="001127D1" w:rsidRPr="009B2231" w:rsidRDefault="001127D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Buscopan</w:t>
            </w:r>
          </w:p>
        </w:tc>
        <w:tc>
          <w:tcPr>
            <w:tcW w:w="1276" w:type="dxa"/>
            <w:vAlign w:val="center"/>
          </w:tcPr>
          <w:p w14:paraId="42FAE244" w14:textId="77777777" w:rsidR="001127D1" w:rsidRPr="009B2231" w:rsidRDefault="001127D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C71230" w14:textId="5B745F5D" w:rsidR="001127D1" w:rsidRPr="009B2231" w:rsidRDefault="001127D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78" w:type="dxa"/>
            <w:vAlign w:val="center"/>
          </w:tcPr>
          <w:p w14:paraId="491179DA" w14:textId="00AA5031" w:rsidR="001127D1" w:rsidRPr="001127D1" w:rsidRDefault="001127D1" w:rsidP="001127D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7D1">
              <w:rPr>
                <w:rFonts w:ascii="Arial" w:hAnsi="Arial" w:cs="Arial"/>
                <w:b/>
                <w:bCs/>
                <w:sz w:val="20"/>
                <w:szCs w:val="20"/>
              </w:rPr>
              <w:t>2,58 €</w:t>
            </w:r>
          </w:p>
        </w:tc>
      </w:tr>
      <w:tr w:rsidR="001127D1" w14:paraId="460062DD" w14:textId="77777777" w:rsidTr="00F00641">
        <w:tc>
          <w:tcPr>
            <w:tcW w:w="1384" w:type="dxa"/>
            <w:vAlign w:val="center"/>
          </w:tcPr>
          <w:p w14:paraId="30F74FBD" w14:textId="3DE17098" w:rsidR="001127D1" w:rsidRPr="009B2231" w:rsidRDefault="001127D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827" w:type="dxa"/>
            <w:vAlign w:val="center"/>
          </w:tcPr>
          <w:p w14:paraId="1ABAE3B3" w14:textId="2368AADC" w:rsidR="001127D1" w:rsidRPr="009B2231" w:rsidRDefault="001127D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Ausführlicher Befundbericht</w:t>
            </w:r>
          </w:p>
        </w:tc>
        <w:tc>
          <w:tcPr>
            <w:tcW w:w="1276" w:type="dxa"/>
            <w:vAlign w:val="center"/>
          </w:tcPr>
          <w:p w14:paraId="0EBDFBEF" w14:textId="77777777" w:rsidR="001127D1" w:rsidRPr="009B2231" w:rsidRDefault="001127D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76B241" w14:textId="11F21160" w:rsidR="001127D1" w:rsidRPr="009B2231" w:rsidRDefault="001127D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778" w:type="dxa"/>
            <w:vAlign w:val="center"/>
          </w:tcPr>
          <w:p w14:paraId="49A12474" w14:textId="0A0A6E3D" w:rsidR="001127D1" w:rsidRPr="001127D1" w:rsidRDefault="001127D1" w:rsidP="001127D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27D1">
              <w:rPr>
                <w:rFonts w:ascii="Arial" w:hAnsi="Arial" w:cs="Arial"/>
                <w:b/>
                <w:bCs/>
                <w:sz w:val="20"/>
                <w:szCs w:val="20"/>
              </w:rPr>
              <w:t>9,85 €</w:t>
            </w:r>
          </w:p>
        </w:tc>
      </w:tr>
      <w:tr w:rsidR="00F00641" w14:paraId="0A18A925" w14:textId="77777777" w:rsidTr="00F00641">
        <w:tc>
          <w:tcPr>
            <w:tcW w:w="1384" w:type="dxa"/>
            <w:vAlign w:val="center"/>
          </w:tcPr>
          <w:p w14:paraId="2FA146E2" w14:textId="22D11102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92926B0" w14:textId="4986433B" w:rsidR="00F00641" w:rsidRPr="009B223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BE1EEF" w14:textId="3ECE0F8B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B56702" w14:textId="02370A90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6C3D6355" w14:textId="77777777" w:rsidR="00F00641" w:rsidRPr="009B2231" w:rsidRDefault="00F00641" w:rsidP="00112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641" w14:paraId="12859B1A" w14:textId="77777777" w:rsidTr="00F00641">
        <w:tc>
          <w:tcPr>
            <w:tcW w:w="1384" w:type="dxa"/>
            <w:vAlign w:val="center"/>
          </w:tcPr>
          <w:p w14:paraId="612D8F82" w14:textId="77777777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BE75C13" w14:textId="0563A429" w:rsidR="00F00641" w:rsidRPr="00A05060" w:rsidRDefault="00F00641" w:rsidP="00F0064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5060">
              <w:rPr>
                <w:rFonts w:ascii="Arial" w:hAnsi="Arial" w:cs="Arial"/>
                <w:b/>
                <w:sz w:val="20"/>
                <w:szCs w:val="20"/>
              </w:rPr>
              <w:t>GESAMT</w:t>
            </w:r>
          </w:p>
        </w:tc>
        <w:tc>
          <w:tcPr>
            <w:tcW w:w="1276" w:type="dxa"/>
            <w:vAlign w:val="center"/>
          </w:tcPr>
          <w:p w14:paraId="65C40351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C02008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04999213" w14:textId="622A6B97" w:rsidR="00F00641" w:rsidRPr="005B06EA" w:rsidRDefault="005B06EA" w:rsidP="001127D1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6EA">
              <w:rPr>
                <w:rFonts w:ascii="Arial" w:hAnsi="Arial" w:cs="Arial"/>
                <w:b/>
                <w:bCs/>
                <w:sz w:val="20"/>
                <w:szCs w:val="20"/>
              </w:rPr>
              <w:t>514,00 €</w:t>
            </w:r>
          </w:p>
        </w:tc>
      </w:tr>
      <w:tr w:rsidR="00F00641" w14:paraId="3B8DD173" w14:textId="77777777" w:rsidTr="00F00641">
        <w:tc>
          <w:tcPr>
            <w:tcW w:w="1384" w:type="dxa"/>
            <w:vAlign w:val="center"/>
          </w:tcPr>
          <w:p w14:paraId="2A9BF0C4" w14:textId="77777777" w:rsidR="00F00641" w:rsidRPr="009B223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704B25" w14:textId="77777777" w:rsidR="00F00641" w:rsidRPr="009B223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FFB044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1A1B23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58FDFE9" w14:textId="77777777" w:rsidR="00F00641" w:rsidRPr="009B2231" w:rsidRDefault="00F00641" w:rsidP="001127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641" w:rsidRPr="00A05060" w14:paraId="6B46CDB6" w14:textId="77777777" w:rsidTr="00A05060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462B2654" w14:textId="36F1DC7F" w:rsidR="00F00641" w:rsidRPr="00A05060" w:rsidRDefault="00F00641" w:rsidP="00F00641">
            <w:pPr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06A3C09" w14:textId="14128D2E" w:rsidR="00F00641" w:rsidRPr="00A05060" w:rsidRDefault="00A05060" w:rsidP="009D44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5060">
              <w:rPr>
                <w:rFonts w:ascii="Arial" w:hAnsi="Arial" w:cs="Arial"/>
                <w:b/>
                <w:sz w:val="20"/>
                <w:szCs w:val="20"/>
              </w:rPr>
              <w:t xml:space="preserve">zzgl. </w:t>
            </w:r>
            <w:r w:rsidR="00F00641" w:rsidRPr="00A05060">
              <w:rPr>
                <w:rFonts w:ascii="Arial" w:hAnsi="Arial" w:cs="Arial"/>
                <w:b/>
                <w:sz w:val="20"/>
                <w:szCs w:val="20"/>
              </w:rPr>
              <w:t>Sachkosten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68DDEBE" w14:textId="77777777" w:rsidR="00F00641" w:rsidRPr="00A05060" w:rsidRDefault="00F00641" w:rsidP="00F006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BA6DEB8" w14:textId="77777777" w:rsidR="00F00641" w:rsidRPr="00A05060" w:rsidRDefault="00F00641" w:rsidP="00F006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1BBAE097" w14:textId="77777777" w:rsidR="00F00641" w:rsidRPr="00A05060" w:rsidRDefault="00F00641" w:rsidP="009D44F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00641" w14:paraId="1ADC7731" w14:textId="77777777" w:rsidTr="00F00641">
        <w:tc>
          <w:tcPr>
            <w:tcW w:w="1384" w:type="dxa"/>
            <w:vAlign w:val="center"/>
          </w:tcPr>
          <w:p w14:paraId="082AB640" w14:textId="77777777" w:rsidR="00F0064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8E8BA6A" w14:textId="77777777" w:rsidR="005B06EA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Kontrastmittel</w:t>
            </w:r>
            <w:r w:rsidR="001127D1">
              <w:rPr>
                <w:rFonts w:ascii="Arial" w:hAnsi="Arial" w:cs="Arial"/>
                <w:sz w:val="20"/>
                <w:szCs w:val="20"/>
              </w:rPr>
              <w:t xml:space="preserve"> nach </w:t>
            </w:r>
            <w:r w:rsidR="005B06EA">
              <w:rPr>
                <w:rFonts w:ascii="Arial" w:hAnsi="Arial" w:cs="Arial"/>
                <w:sz w:val="20"/>
                <w:szCs w:val="20"/>
              </w:rPr>
              <w:t>Verbrauch</w:t>
            </w:r>
            <w:r w:rsidR="001127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9E5C10" w14:textId="7FDB3E0F" w:rsidR="00F00641" w:rsidRDefault="001127D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ca. 90 – 120 €</w:t>
            </w:r>
          </w:p>
        </w:tc>
        <w:tc>
          <w:tcPr>
            <w:tcW w:w="1276" w:type="dxa"/>
            <w:vAlign w:val="center"/>
          </w:tcPr>
          <w:p w14:paraId="7B3EAF18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D03164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0403A4F8" w14:textId="2613547D" w:rsidR="00F00641" w:rsidRPr="009B223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 Aufwand</w:t>
            </w:r>
          </w:p>
        </w:tc>
      </w:tr>
      <w:tr w:rsidR="00F00641" w14:paraId="0CA02E34" w14:textId="77777777" w:rsidTr="00F00641">
        <w:tc>
          <w:tcPr>
            <w:tcW w:w="1384" w:type="dxa"/>
            <w:vAlign w:val="center"/>
          </w:tcPr>
          <w:p w14:paraId="06633F80" w14:textId="77777777" w:rsidR="00F0064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887BB50" w14:textId="65FCD30F" w:rsidR="00F00641" w:rsidRDefault="00A05060" w:rsidP="00A050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Infusionsset, Transfer-Set etc. </w:t>
            </w:r>
            <w:r w:rsidR="00F00641" w:rsidRPr="00F00641">
              <w:rPr>
                <w:rFonts w:ascii="Arial" w:hAnsi="Arial" w:cs="Arial"/>
                <w:sz w:val="20"/>
                <w:szCs w:val="20"/>
              </w:rPr>
              <w:t>zur Kontrastmittelinjektion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A29AD2C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E56B45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B50FA54" w14:textId="1C181D82" w:rsidR="00F00641" w:rsidRPr="005B06EA" w:rsidRDefault="001127D1" w:rsidP="001127D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06EA">
              <w:rPr>
                <w:rFonts w:ascii="Arial" w:hAnsi="Arial" w:cs="Arial"/>
                <w:b/>
                <w:bCs/>
                <w:sz w:val="20"/>
                <w:szCs w:val="20"/>
              </w:rPr>
              <w:t>6,90 €</w:t>
            </w:r>
          </w:p>
        </w:tc>
      </w:tr>
      <w:tr w:rsidR="00F00641" w14:paraId="3077FF80" w14:textId="77777777" w:rsidTr="00F00641">
        <w:tc>
          <w:tcPr>
            <w:tcW w:w="1384" w:type="dxa"/>
            <w:vAlign w:val="center"/>
          </w:tcPr>
          <w:p w14:paraId="0E3AA9C3" w14:textId="77777777" w:rsidR="00F00641" w:rsidRDefault="00F00641" w:rsidP="00F00641">
            <w:pPr>
              <w:ind w:righ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B8F4925" w14:textId="06918C66" w:rsidR="00F00641" w:rsidRPr="00F00641" w:rsidRDefault="00F00641" w:rsidP="009D44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</w:t>
            </w:r>
          </w:p>
        </w:tc>
        <w:tc>
          <w:tcPr>
            <w:tcW w:w="1276" w:type="dxa"/>
            <w:vAlign w:val="center"/>
          </w:tcPr>
          <w:p w14:paraId="42F61032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D81C76" w14:textId="77777777" w:rsidR="00F00641" w:rsidRPr="009B2231" w:rsidRDefault="00F00641" w:rsidP="00F006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21C8D3F4" w14:textId="609FAC57" w:rsidR="00F00641" w:rsidRPr="00F00641" w:rsidRDefault="00F00641" w:rsidP="005B06EA">
            <w:pPr>
              <w:tabs>
                <w:tab w:val="decimal" w:pos="876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0641">
              <w:rPr>
                <w:rFonts w:ascii="Arial" w:hAnsi="Arial" w:cs="Arial"/>
                <w:b/>
                <w:sz w:val="20"/>
                <w:szCs w:val="20"/>
              </w:rPr>
              <w:t>0,</w:t>
            </w:r>
            <w:r w:rsidR="004824E9">
              <w:rPr>
                <w:rFonts w:ascii="Arial" w:hAnsi="Arial" w:cs="Arial"/>
                <w:b/>
                <w:sz w:val="20"/>
                <w:szCs w:val="20"/>
              </w:rPr>
              <w:t>95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2BBF5D81" w14:textId="2B037A57" w:rsidR="00A5439F" w:rsidRDefault="00A5439F" w:rsidP="009D44F5">
      <w:pPr>
        <w:jc w:val="both"/>
        <w:rPr>
          <w:rFonts w:ascii="Arial" w:hAnsi="Arial" w:cs="Arial"/>
        </w:rPr>
      </w:pPr>
    </w:p>
    <w:p w14:paraId="49B41A44" w14:textId="77777777" w:rsidR="009D44F5" w:rsidRPr="00711917" w:rsidRDefault="009D44F5" w:rsidP="009D44F5">
      <w:pPr>
        <w:jc w:val="both"/>
        <w:rPr>
          <w:rFonts w:ascii="Arial" w:hAnsi="Arial" w:cs="Arial"/>
        </w:rPr>
      </w:pPr>
    </w:p>
    <w:p w14:paraId="1D608250" w14:textId="5F5F5847" w:rsidR="009D44F5" w:rsidRPr="00711917" w:rsidRDefault="00ED350D" w:rsidP="009D44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1A740836" w14:textId="77777777" w:rsidR="009D44F5" w:rsidRDefault="009D44F5" w:rsidP="009D44F5">
      <w:pPr>
        <w:jc w:val="both"/>
        <w:rPr>
          <w:rFonts w:ascii="Arial" w:hAnsi="Arial" w:cs="Arial"/>
        </w:rPr>
      </w:pPr>
    </w:p>
    <w:p w14:paraId="706BCE97" w14:textId="77777777" w:rsidR="009D44F5" w:rsidRDefault="009D44F5" w:rsidP="00A05060">
      <w:pPr>
        <w:rPr>
          <w:rFonts w:ascii="Arial" w:hAnsi="Arial" w:cs="Arial"/>
        </w:rPr>
      </w:pPr>
      <w:r>
        <w:rPr>
          <w:rFonts w:ascii="Arial" w:hAnsi="Arial" w:cs="Arial"/>
        </w:rPr>
        <w:t>(Unterschrift des Versicherten)</w:t>
      </w:r>
    </w:p>
    <w:p w14:paraId="73E9B225" w14:textId="77777777" w:rsidR="00686F13" w:rsidRPr="00131644" w:rsidRDefault="00686F13" w:rsidP="00131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15868" w:themeColor="accent5" w:themeShade="80"/>
        </w:rPr>
      </w:pPr>
    </w:p>
    <w:sectPr w:rsidR="00686F13" w:rsidRPr="00131644" w:rsidSect="007C3257">
      <w:footerReference w:type="default" r:id="rId7"/>
      <w:pgSz w:w="11906" w:h="16838"/>
      <w:pgMar w:top="85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C9223" w14:textId="77777777" w:rsidR="00E834DF" w:rsidRDefault="00E834DF" w:rsidP="001E245B">
      <w:pPr>
        <w:spacing w:after="0" w:line="240" w:lineRule="auto"/>
      </w:pPr>
      <w:r>
        <w:separator/>
      </w:r>
    </w:p>
  </w:endnote>
  <w:endnote w:type="continuationSeparator" w:id="0">
    <w:p w14:paraId="4B3F49D1" w14:textId="77777777" w:rsidR="00E834DF" w:rsidRDefault="00E834DF" w:rsidP="001E2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8309" w14:textId="77777777" w:rsidR="002A6510" w:rsidRDefault="002A65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5F90" w14:textId="77777777" w:rsidR="00E834DF" w:rsidRDefault="00E834DF" w:rsidP="001E245B">
      <w:pPr>
        <w:spacing w:after="0" w:line="240" w:lineRule="auto"/>
      </w:pPr>
      <w:r>
        <w:separator/>
      </w:r>
    </w:p>
  </w:footnote>
  <w:footnote w:type="continuationSeparator" w:id="0">
    <w:p w14:paraId="524C3DF8" w14:textId="77777777" w:rsidR="00E834DF" w:rsidRDefault="00E834DF" w:rsidP="001E2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118E8"/>
    <w:multiLevelType w:val="hybridMultilevel"/>
    <w:tmpl w:val="7EEA4B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F0ECC"/>
    <w:multiLevelType w:val="multilevel"/>
    <w:tmpl w:val="EA86A0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80" w:hanging="170"/>
      </w:pPr>
      <w:rPr>
        <w:rFonts w:hint="default"/>
        <w:b/>
        <w:i w:val="0"/>
        <w:sz w:val="22"/>
      </w:rPr>
    </w:lvl>
    <w:lvl w:ilvl="2">
      <w:start w:val="29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758"/>
        </w:tabs>
        <w:ind w:left="1758" w:hanging="397"/>
      </w:pPr>
      <w:rPr>
        <w:rFonts w:ascii="SymbolPS" w:hAnsi="SymbolPS" w:cs="SymbolP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95904297">
    <w:abstractNumId w:val="0"/>
  </w:num>
  <w:num w:numId="2" w16cid:durableId="140653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57"/>
    <w:rsid w:val="000266F0"/>
    <w:rsid w:val="00062FE8"/>
    <w:rsid w:val="000A634B"/>
    <w:rsid w:val="000B1D79"/>
    <w:rsid w:val="000E2CEB"/>
    <w:rsid w:val="001127D1"/>
    <w:rsid w:val="00131644"/>
    <w:rsid w:val="00172AB8"/>
    <w:rsid w:val="00192ECC"/>
    <w:rsid w:val="001A5F6E"/>
    <w:rsid w:val="001E245B"/>
    <w:rsid w:val="00236AD5"/>
    <w:rsid w:val="00237CD8"/>
    <w:rsid w:val="002466C7"/>
    <w:rsid w:val="002A6510"/>
    <w:rsid w:val="002F2053"/>
    <w:rsid w:val="004824E9"/>
    <w:rsid w:val="00490941"/>
    <w:rsid w:val="004C1B42"/>
    <w:rsid w:val="00502C88"/>
    <w:rsid w:val="00534294"/>
    <w:rsid w:val="00540C90"/>
    <w:rsid w:val="005A55CE"/>
    <w:rsid w:val="005B06EA"/>
    <w:rsid w:val="00683DE1"/>
    <w:rsid w:val="00686F13"/>
    <w:rsid w:val="006A5518"/>
    <w:rsid w:val="006B0B09"/>
    <w:rsid w:val="006F776A"/>
    <w:rsid w:val="007063EB"/>
    <w:rsid w:val="007C3257"/>
    <w:rsid w:val="00804A2B"/>
    <w:rsid w:val="0081207E"/>
    <w:rsid w:val="00825AE8"/>
    <w:rsid w:val="00894323"/>
    <w:rsid w:val="008A2C99"/>
    <w:rsid w:val="008E3965"/>
    <w:rsid w:val="009170BC"/>
    <w:rsid w:val="00951877"/>
    <w:rsid w:val="0098228B"/>
    <w:rsid w:val="009B2231"/>
    <w:rsid w:val="009D44F5"/>
    <w:rsid w:val="009F663F"/>
    <w:rsid w:val="00A05060"/>
    <w:rsid w:val="00A375EF"/>
    <w:rsid w:val="00A4489C"/>
    <w:rsid w:val="00A5439F"/>
    <w:rsid w:val="00BC3ED2"/>
    <w:rsid w:val="00BF7DFD"/>
    <w:rsid w:val="00CA7C11"/>
    <w:rsid w:val="00CC1358"/>
    <w:rsid w:val="00DB6DA7"/>
    <w:rsid w:val="00E834DF"/>
    <w:rsid w:val="00EB1E2D"/>
    <w:rsid w:val="00EB3B9C"/>
    <w:rsid w:val="00ED350D"/>
    <w:rsid w:val="00EE687A"/>
    <w:rsid w:val="00F00641"/>
    <w:rsid w:val="00F017C5"/>
    <w:rsid w:val="00F32F2A"/>
    <w:rsid w:val="00F55054"/>
    <w:rsid w:val="00F95BED"/>
    <w:rsid w:val="00F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E8D3C"/>
  <w15:docId w15:val="{01C8C49A-2CA0-4186-B844-70D5DA19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C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1E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E245B"/>
  </w:style>
  <w:style w:type="paragraph" w:styleId="Fuzeile">
    <w:name w:val="footer"/>
    <w:basedOn w:val="Standard"/>
    <w:link w:val="FuzeileZchn"/>
    <w:uiPriority w:val="99"/>
    <w:unhideWhenUsed/>
    <w:rsid w:val="001E24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245B"/>
  </w:style>
  <w:style w:type="paragraph" w:styleId="Listenabsatz">
    <w:name w:val="List Paragraph"/>
    <w:basedOn w:val="Standard"/>
    <w:uiPriority w:val="34"/>
    <w:qFormat/>
    <w:rsid w:val="001E245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651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9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9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9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9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965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E39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Henkel</dc:creator>
  <cp:lastModifiedBy>Kerstin Przybilski</cp:lastModifiedBy>
  <cp:revision>2</cp:revision>
  <cp:lastPrinted>2025-06-17T11:41:00Z</cp:lastPrinted>
  <dcterms:created xsi:type="dcterms:W3CDTF">2025-06-17T11:41:00Z</dcterms:created>
  <dcterms:modified xsi:type="dcterms:W3CDTF">2025-06-17T11:41:00Z</dcterms:modified>
</cp:coreProperties>
</file>